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415</w:t>
      </w:r>
    </w:p>
    <w:p>
      <w:r>
        <w:t>Bundesgericht (BGE), 2003-04-16, DE</w:t>
      </w:r>
    </w:p>
    <w:p>
      <w:r>
        <w:rPr>
          <w:b/>
        </w:rPr>
        <w:t xml:space="preserve">Quelle: </w:t>
      </w:r>
      <w:r>
        <w:t>https://mcp.opencaselaw.ch/entscheid/bge_129 III 415</w:t>
      </w:r>
    </w:p>
    <w:p>
      <w:r>
        <w:t>FR: ATF 129 III 415</w:t>
      </w:r>
    </w:p>
    <w:p>
      <w:r>
        <w:t>IT: DTF 129 III 415</w:t>
      </w:r>
    </w:p>
    <w:p>
      <w:pPr>
        <w:pStyle w:val="Heading2"/>
      </w:pPr>
      <w:r>
        <w:t>Regeste</w:t>
      </w:r>
    </w:p>
    <w:p>
      <w:r>
        <w:t>Regeste Art. 43 und 46 OG; berufungsfähige Zivilrechtsstreitigkeit. Die Berufung gegen ein Kollokationsurteil (Art. 250 SchKG) ist nur zulässig, wenn Ansprüche des Bundeszivilrechts umstritten sind (E. 2.1-2.3).</w:t>
      </w:r>
    </w:p>
    <w:p>
      <w:pPr>
        <w:pStyle w:val="Heading2"/>
      </w:pPr>
      <w:r>
        <w:t>Erwägungen</w:t>
      </w:r>
    </w:p>
    <w:p>
      <w:r>
        <w:rPr>
          <w:b/>
        </w:rPr>
        <w:t>E. 2.1</w:t>
      </w:r>
    </w:p>
    <w:p>
      <w:r>
        <w:t>Das Bundesgericht prüft von Amtes wegen und mit freier Kognition, ob ein Rechtsmittel zulässig ist ( BGE 123 III 346 E. 1a S. 348). Ob eine Zivilrechtsstreitigkeit vorliegt ( Art. 46 OG ), beurteilt sich nach der Rechtsnatur des Streitgegenstandes ( BGE 128 III 250 E. 1a S. 252; BGE 103 II 314 E. 2c S. 317). Entscheidend ist nicht, welches Verfahren die kantonalen Behörden eingeschlagen haben, sondern ob die Parteien Ansprüche des Bundeszivilrechts erhoben haben und ebensolche objektiv streitig sind ( BGE 124 III 44 S. 1a S. 46; BGE 120 II 11 E. 2a S. 13).</w:t>
      </w:r>
    </w:p>
    <w:p>
      <w:r>
        <w:rPr>
          <w:b/>
        </w:rPr>
        <w:t>E. 2.2</w:t>
      </w:r>
    </w:p>
    <w:p>
      <w:r>
        <w:t>Bestreitet ein Gläubiger den Bestand oder die Zulässigkeit einer im Konkurs eingegebenen öffentlichrechtlichen Forderung, die noch nicht rechtskräftig entschieden ist, so wird diese grundsätzlich mittels Kollokationsklage nach Art. 250 SchKG bereinigt (BGE BGE 129 III 415 S. 416 BGE 120 III 32 E. 2b S. 35), sofern diese Klage nicht - wie z.B. im Verrechnungssteuerrecht ( Art. 45 VStG [SR 642.21]) - gesetzlich ausgeschlossen ist ( BGE 120 III 147 E. 4a S. 149). Die Berufung gegen das Kollokationsurteil ist jedoch nur zulässig, wenn die umstrittene Forderung eine privatrechtliche ist ( BGE 93 II 436 E. 1 S. 437; Urteil des Bundesgerichts 2P.441/1997 vom 28. September 1998, E. 1c/bb und cc, Pra 88/1999 Nr. 30 S. 181 f.; POUDRET/SANDOZ-MONOD, Commentaire de la loi fédérale d'organisation judiciaire, Bd. II, N. 2.3.58.8 zu Titel II S. 56; AMONN/GASSER, Grundriss des Schuldbetreibungs- und Konkursrechts, 6. Aufl., 1997, § 46 Rz. 67: Berufung "bei gegebenen Voraussetzungen").</w:t>
      </w:r>
    </w:p>
    <w:p>
      <w:r>
        <w:rPr>
          <w:b/>
        </w:rPr>
        <w:t>E. 2.3</w:t>
      </w:r>
    </w:p>
    <w:p>
      <w:r>
        <w:t>Im angefochtenen Kollokationsurteil des Obergerichts sind die von der Beklagten geltend gemachten AHV-Beiträge (vgl. Art. 12 und Art. 63 Abs. 1 AHVG [SR 831.10]) umstritten. Der Bezug von AHV-Beiträgen ist indessen öffentlichrechtlicher Natur und entsprechende Forderungen stellen keine Ansprüche des Bundeszivilrechts dar (vgl. BGE 109 Ib 146 E. 2 und 3 S. 149 ff.). Die Klägerin beruft sich in diesem Zusammenhang vergeblich auf das Urteil des Bundesgerichts 5C.1/2002 vom 29. Juli 2002, zumal im dort angefochtenen Kollokationsurteil eine privatrechtliche Darlehensforderung umstritten war. Da die vorliegende Streitsache nicht in den Bereich des Zivilrechts fällt, ist die Berufung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